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highlight w:val="none"/>
          <w:shd w:fill="FFFF00" w:val="clear"/>
        </w:rPr>
      </w:pPr>
      <w:r>
        <w:rPr>
          <w:shd w:fill="FFFF00" w:val="clear"/>
        </w:rPr>
        <w:t>Tablón de Integración Social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Cuerpodetexto"/>
        <w:bidi w:val="0"/>
        <w:jc w:val="left"/>
        <w:rPr/>
      </w:pPr>
      <w:hyperlink r:id="rId2">
        <w:r>
          <w:rPr>
            <w:rStyle w:val="EnlacedeInternet"/>
            <w:rFonts w:eastAsia="NSimSun" w:cs="Arial" w:ascii="Montserrat-light" w:hAnsi="Montserrat-light"/>
            <w:b w:val="false"/>
            <w:i w:val="false"/>
            <w:caps w:val="false"/>
            <w:smallCaps w:val="false"/>
            <w:color w:val="FF0000"/>
            <w:spacing w:val="0"/>
            <w:kern w:val="2"/>
            <w:sz w:val="20"/>
            <w:szCs w:val="20"/>
            <w:shd w:fill="auto" w:val="clear"/>
            <w:lang w:val="es-ES" w:eastAsia="zh-CN" w:bidi="hi-IN"/>
          </w:rPr>
          <w:t>Ficha informativa del ciclo formativo</w:t>
        </w:r>
      </w:hyperlink>
      <w:r>
        <w:rPr>
          <w:rStyle w:val="Style9"/>
          <w:rFonts w:eastAsia="NSimSun" w:cs="Arial" w:ascii="Montserrat-light" w:hAnsi="Montserrat-light"/>
          <w:b w:val="false"/>
          <w:i w:val="false"/>
          <w:caps w:val="false"/>
          <w:smallCaps w:val="false"/>
          <w:color w:val="FF0000"/>
          <w:spacing w:val="0"/>
          <w:kern w:val="2"/>
          <w:sz w:val="20"/>
          <w:szCs w:val="20"/>
          <w:shd w:fill="auto" w:val="clear"/>
          <w:lang w:val="es-ES" w:eastAsia="zh-CN" w:bidi="hi-IN"/>
        </w:rPr>
        <w:t xml:space="preserve"> 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>
          <w:rFonts w:ascii="Montserrat-light" w:hAnsi="Montserrat-light"/>
          <w:sz w:val="20"/>
          <w:szCs w:val="20"/>
        </w:rPr>
      </w:pPr>
      <w:r>
        <w:rPr>
          <w:rFonts w:ascii="Montserrat-light" w:hAnsi="Montserrat-light"/>
          <w:sz w:val="20"/>
          <w:szCs w:val="20"/>
        </w:rPr>
        <w:t>- Enseñanzas mínimas del título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/>
      </w:pPr>
      <w:hyperlink r:id="rId3">
        <w:r>
          <w:rPr>
            <w:rStyle w:val="EnlacedeInternet"/>
            <w:rFonts w:ascii="Montserrat-light" w:hAnsi="Montserrat-light"/>
            <w:sz w:val="20"/>
            <w:szCs w:val="20"/>
          </w:rPr>
          <w:t>Real Decreto 1074/2012, de 13 de julio</w:t>
        </w:r>
      </w:hyperlink>
      <w:r>
        <w:rPr>
          <w:rFonts w:ascii="Montserrat-light" w:hAnsi="Montserrat-light"/>
          <w:sz w:val="20"/>
          <w:szCs w:val="20"/>
        </w:rPr>
        <w:t xml:space="preserve"> ,modificado por </w:t>
      </w:r>
      <w:hyperlink r:id="rId4">
        <w:r>
          <w:rPr>
            <w:rStyle w:val="EnlacedeInternet"/>
            <w:rFonts w:ascii="Montserrat-light" w:hAnsi="Montserrat-light"/>
            <w:sz w:val="20"/>
            <w:szCs w:val="20"/>
          </w:rPr>
          <w:t>Real Decreto 289/2023, de 18 de abril</w:t>
        </w:r>
      </w:hyperlink>
      <w:r>
        <w:rPr>
          <w:rFonts w:ascii="Montserrat-light" w:hAnsi="Montserrat-light"/>
          <w:sz w:val="20"/>
          <w:szCs w:val="20"/>
        </w:rPr>
        <w:t xml:space="preserve"> 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>
          <w:rFonts w:ascii="Montserrat-light" w:hAnsi="Montserrat-light"/>
          <w:sz w:val="20"/>
          <w:szCs w:val="20"/>
        </w:rPr>
      </w:pPr>
      <w:r>
        <w:rPr>
          <w:rFonts w:ascii="Montserrat-light" w:hAnsi="Montserrat-light"/>
          <w:sz w:val="20"/>
          <w:szCs w:val="20"/>
        </w:rPr>
        <w:t>- Plan de estudios de la Comunidad de Madrid (PDFs)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/>
      </w:pPr>
      <w:hyperlink r:id="rId5">
        <w:r>
          <w:rPr>
            <w:rStyle w:val="EnlacedeInternet"/>
            <w:rFonts w:ascii="Montserrat-light" w:hAnsi="Montserrat-light"/>
            <w:sz w:val="20"/>
            <w:szCs w:val="20"/>
          </w:rPr>
          <w:t>Decreto 224/2015, de 13 de octubre</w:t>
        </w:r>
      </w:hyperlink>
      <w:r>
        <w:rPr>
          <w:rFonts w:ascii="Montserrat-light" w:hAnsi="Montserrat-light"/>
          <w:sz w:val="20"/>
          <w:szCs w:val="20"/>
        </w:rPr>
        <w:t xml:space="preserve">  modificado por </w:t>
      </w:r>
      <w:hyperlink r:id="rId6">
        <w:r>
          <w:rPr>
            <w:rStyle w:val="EnlacedeInternet"/>
            <w:rFonts w:ascii="Montserrat-light" w:hAnsi="Montserrat-light"/>
            <w:sz w:val="20"/>
            <w:szCs w:val="20"/>
          </w:rPr>
          <w:t>Decreto</w:t>
        </w:r>
      </w:hyperlink>
      <w:r>
        <w:rPr>
          <w:rFonts w:ascii="Montserrat-light" w:hAnsi="Montserrat-light"/>
          <w:sz w:val="20"/>
          <w:szCs w:val="20"/>
        </w:rPr>
        <w:t xml:space="preserve"> </w:t>
      </w:r>
      <w:hyperlink r:id="rId7">
        <w:r>
          <w:rPr>
            <w:rStyle w:val="EnlacedeInternet"/>
            <w:rFonts w:ascii="Montserrat-light" w:hAnsi="Montserrat-light"/>
            <w:sz w:val="20"/>
            <w:szCs w:val="20"/>
          </w:rPr>
          <w:t>145/2018, de 2 de octubre</w:t>
        </w:r>
      </w:hyperlink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>
          <w:rFonts w:ascii="Montserrat-light" w:hAnsi="Montserrat-light"/>
          <w:sz w:val="20"/>
          <w:szCs w:val="20"/>
        </w:rPr>
      </w:pPr>
      <w:r>
        <w:rPr>
          <w:rFonts w:ascii="Montserrat-light" w:hAnsi="Montserrat-light"/>
          <w:sz w:val="20"/>
          <w:szCs w:val="20"/>
        </w:rPr>
      </w:r>
    </w:p>
    <w:p>
      <w:pPr>
        <w:pStyle w:val="Normal"/>
        <w:bidi w:val="0"/>
        <w:jc w:val="left"/>
        <w:rPr>
          <w:rFonts w:ascii="Liberation Serif" w:hAnsi="Liberation Serif" w:eastAsia="NSimSun" w:cs="Arial"/>
          <w:color w:val="auto"/>
          <w:kern w:val="2"/>
          <w:sz w:val="24"/>
          <w:szCs w:val="24"/>
          <w:lang w:val="es-ES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es-ES" w:eastAsia="zh-CN" w:bidi="hi-IN"/>
        </w:rPr>
        <w:t>Para más información:</w:t>
      </w:r>
    </w:p>
    <w:p>
      <w:pPr>
        <w:pStyle w:val="Normal"/>
        <w:bidi w:val="0"/>
        <w:jc w:val="left"/>
        <w:rPr/>
      </w:pPr>
      <w:r>
        <w:rPr>
          <w:color w:val="000080"/>
          <w:u w:val="single"/>
        </w:rPr>
        <w:t xml:space="preserve"> </w:t>
      </w:r>
      <w:r>
        <w:rPr>
          <w:rStyle w:val="Style9"/>
          <w:color w:val="000080"/>
          <w:u w:val="single"/>
        </w:rPr>
        <w:t>https://www.comunidad.madrid/servicios/educacion/estudiar-fp-ciclos-formativos-grado-superior</w:t>
      </w:r>
    </w:p>
    <w:p>
      <w:pPr>
        <w:pStyle w:val="Normal"/>
        <w:bidi w:val="0"/>
        <w:jc w:val="left"/>
        <w:rPr>
          <w:rStyle w:val="Style9"/>
          <w:color w:val="000080"/>
          <w:u w:val="single"/>
        </w:rPr>
      </w:pPr>
      <w:r>
        <w:rPr>
          <w:color w:val="000080"/>
          <w:u w:val="single"/>
        </w:rPr>
      </w:r>
    </w:p>
    <w:p>
      <w:pPr>
        <w:pStyle w:val="Normal"/>
        <w:bidi w:val="0"/>
        <w:jc w:val="left"/>
        <w:rPr/>
      </w:pPr>
      <w:r>
        <w:rPr>
          <w:rStyle w:val="Style9"/>
          <w:color w:val="000080"/>
          <w:u w:val="single"/>
        </w:rPr>
        <w:t>https://todofp.es/que-estudiar/familias-profesionales/servicios-socioculturales-comunidad/integracion-social.html</w:t>
      </w:r>
    </w:p>
    <w:p>
      <w:pPr>
        <w:pStyle w:val="Normal"/>
        <w:bidi w:val="0"/>
        <w:jc w:val="left"/>
        <w:rPr>
          <w:rStyle w:val="Style9"/>
          <w:color w:val="000080"/>
          <w:u w:val="single"/>
        </w:rPr>
      </w:pPr>
      <w:r>
        <w:rPr>
          <w:color w:val="000080"/>
          <w:u w:val="single"/>
        </w:rPr>
      </w:r>
    </w:p>
    <w:p>
      <w:pPr>
        <w:pStyle w:val="Normal"/>
        <w:bidi w:val="0"/>
        <w:jc w:val="left"/>
        <w:rPr>
          <w:rStyle w:val="Style9"/>
          <w:color w:val="000080"/>
          <w:u w:val="single"/>
        </w:rPr>
      </w:pPr>
      <w:r>
        <w:rPr>
          <w:color w:val="000080"/>
          <w:u w:val="single"/>
        </w:rPr>
      </w:r>
    </w:p>
    <w:p>
      <w:pPr>
        <w:pStyle w:val="Normal"/>
        <w:bidi w:val="0"/>
        <w:jc w:val="left"/>
        <w:rPr/>
      </w:pPr>
      <w:r>
        <w:rPr>
          <w:rStyle w:val="Style9"/>
          <w:rFonts w:eastAsia="NSimSun" w:cs="Arial"/>
          <w:color w:val="auto"/>
          <w:kern w:val="2"/>
          <w:sz w:val="24"/>
          <w:szCs w:val="24"/>
          <w:u w:val="none"/>
          <w:lang w:val="es-ES" w:eastAsia="zh-CN" w:bidi="hi-IN"/>
        </w:rPr>
        <w:t>El perfil profesional del Técnico/a en Integración Social será:</w:t>
      </w:r>
    </w:p>
    <w:p>
      <w:pPr>
        <w:pStyle w:val="Normal"/>
        <w:bidi w:val="0"/>
        <w:jc w:val="left"/>
        <w:rPr>
          <w:rStyle w:val="Style9"/>
          <w:color w:val="000080"/>
          <w:u w:val="single"/>
        </w:rPr>
      </w:pPr>
      <w:r>
        <w:rPr>
          <w:color w:val="000080"/>
          <w:u w:val="single"/>
        </w:rPr>
      </w:r>
    </w:p>
    <w:p>
      <w:pPr>
        <w:pStyle w:val="Normal"/>
        <w:bidi w:val="0"/>
        <w:jc w:val="left"/>
        <w:rPr>
          <w:rStyle w:val="Style9"/>
          <w:color w:val="000080"/>
          <w:u w:val="single"/>
        </w:rPr>
      </w:pPr>
      <w:r>
        <w:rPr>
          <w:color w:val="000080"/>
          <w:u w:val="singl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Style w:val="Style9"/>
          <w:color w:val="000080"/>
          <w:u w:val="single"/>
        </w:rPr>
      </w:pPr>
      <w:r>
        <w:rPr>
          <w:color w:val="000080"/>
          <w:u w:val="singl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392170"/>
            <wp:effectExtent l="0" t="0" r="0" b="0"/>
            <wp:wrapSquare wrapText="largest"/>
            <wp:docPr id="1" name="Imagen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Style w:val="Style9"/>
          <w:color w:val="000080"/>
          <w:u w:val="single"/>
        </w:rPr>
      </w:pPr>
      <w:r>
        <w:rPr>
          <w:color w:val="000080"/>
          <w:u w:val="single"/>
        </w:rPr>
      </w:r>
    </w:p>
    <w:p>
      <w:pPr>
        <w:pStyle w:val="Normal"/>
        <w:bidi w:val="0"/>
        <w:jc w:val="left"/>
        <w:rPr>
          <w:rStyle w:val="Style9"/>
          <w:color w:val="000080"/>
          <w:u w:val="single"/>
        </w:rPr>
      </w:pPr>
      <w:r>
        <w:rPr>
          <w:color w:val="000080"/>
          <w:u w:val="single"/>
        </w:rPr>
      </w:r>
    </w:p>
    <w:p>
      <w:pPr>
        <w:pStyle w:val="Normal"/>
        <w:bidi w:val="0"/>
        <w:jc w:val="both"/>
        <w:rPr/>
      </w:pPr>
      <w:r>
        <w:rPr>
          <w:rStyle w:val="Style9"/>
          <w:rFonts w:eastAsia="NSimSun" w:cs="Arial"/>
          <w:color w:val="auto"/>
          <w:kern w:val="2"/>
          <w:sz w:val="24"/>
          <w:szCs w:val="24"/>
          <w:u w:val="none"/>
          <w:lang w:val="es-ES" w:eastAsia="zh-CN" w:bidi="hi-IN"/>
        </w:rPr>
        <w:t>El Técnico en Integración Social, puede trabajar en el sector de los servicios a las personas, en áreas asistenciales, educativas, de apoyo en la gestión doméstica y psicosocial, así como en el sector de los servicios a la comunidad, brindando atención psicosocial a colectivos y personas en desventaja social, mediación comunitaria, inserción ocupacional y laboral, y promoción de igualdad de oportunidades.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ontserrat-ligh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EnlacedeInternet">
    <w:name w:val="Hyperlink"/>
    <w:rPr>
      <w:color w:val="000080"/>
      <w:u w:val="single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munidad.madrid/sites/default/files/ficha_sscs03_-_ts_integracion_social_modif_decreto_0.pdf" TargetMode="External"/><Relationship Id="rId3" Type="http://schemas.openxmlformats.org/officeDocument/2006/relationships/hyperlink" Target="https://www.boe.es/buscar/doc.php?id=BOE-A-2012-10866" TargetMode="External"/><Relationship Id="rId4" Type="http://schemas.openxmlformats.org/officeDocument/2006/relationships/hyperlink" Target="https://www.boe.es/boe/dias/2023/05/01/pdfs/BOE-A-2023-10395.pdf" TargetMode="External"/><Relationship Id="rId5" Type="http://schemas.openxmlformats.org/officeDocument/2006/relationships/hyperlink" Target="https://www.comunidad.madrid/sites/default/files/doc/educacion/fp/FP-Ensenanza-SSCS03-LOE-Curriculo-D20150224.pdf" TargetMode="External"/><Relationship Id="rId6" Type="http://schemas.openxmlformats.org/officeDocument/2006/relationships/hyperlink" Target="https://www.bocm.es/boletin/CM_Orden_BOCM/2018/10/05/BOCM-20181005-1.PDF" TargetMode="External"/><Relationship Id="rId7" Type="http://schemas.openxmlformats.org/officeDocument/2006/relationships/hyperlink" Target="https://www.bocm.es/boletin/CM_Orden_BOCM/2018/10/05/BOCM-20181005-1.PDF" TargetMode="Externa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LibreOffice/7.5.6.2$Windows_X86_64 LibreOffice_project/f654817fb68d6d4600d7d2f6b647e47729f55f15</Application>
  <AppVersion>15.0000</AppVersion>
  <Pages>1</Pages>
  <Words>129</Words>
  <Characters>902</Characters>
  <CharactersWithSpaces>1024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2026-06-08T13:38:29Z</dcterms:created>
  <dc:creator/>
  <dc:description/>
  <dc:language>es-ES</dc:language>
  <cp:lastModifiedBy/>
  <dcterms:modified xsi:type="dcterms:W3CDTF">2026-06-08T13:38:59Z</dcterms:modified>
  <cp:revision>1</cp:revision>
  <dc:subject/>
  <dc:title/>
</cp:coreProperties>
</file>